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Eligibility criteria.</w:t>
      </w:r>
      <w:r>
        <w:rPr>
          <w:rFonts w:ascii="Times New Roman" w:hAnsi="Times New Roman"/>
          <w:sz w:val="24"/>
        </w:rPr>
        <w:t xml:space="preserve"> To be eligible for medically-monitored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inpatient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treatment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T</w:t>
      </w:r>
      <w:r>
        <w:rPr>
          <w:rFonts w:ascii="Times New Roman" w:hAnsi="Times New Roman"/>
          <w:sz w:val="24"/>
        </w:rPr>
        <w:t xml:space="preserve">he client </w:t>
      </w:r>
      <w:r>
        <w:rPr>
          <w:rFonts w:ascii="Times New Roman" w:hAnsi="Times New Roman"/>
          <w:sz w:val="24"/>
          <w:lang w:val="en-US" w:bidi="en-US" w:eastAsia="en-US"/>
        </w:rPr>
        <w:t>must be</w:t>
      </w:r>
      <w:r>
        <w:rPr>
          <w:rFonts w:ascii="Times New Roman" w:hAnsi="Times New Roman"/>
          <w:sz w:val="24"/>
        </w:rPr>
        <w:t xml:space="preserve"> experiencing moderate to severe withdrawal or is at risk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severe withdrawal based on previous withdrawal history;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he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continued substance use causes imminent risk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biomedical conditions; or</w:t>
      </w:r>
      <w:r>
        <w:rPr>
          <w:rFonts w:ascii="Times New Roman" w:hAnsi="Times New Roman"/>
          <w:sz w:val="24"/>
          <w:lang w:val="en-US" w:bidi="en-US" w:eastAsia="en-US"/>
        </w:rPr>
        <w:t xml:space="preserve"> t</w:t>
      </w:r>
      <w:r>
        <w:rPr>
          <w:rFonts w:ascii="Times New Roman" w:hAnsi="Times New Roman"/>
          <w:sz w:val="24"/>
        </w:rPr>
        <w:t>he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continued substance use causes imminent risk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emotional, behavioral, and cognitive conditions;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client</w:t>
      </w:r>
      <w:r>
        <w:rPr>
          <w:rFonts w:ascii="Times New Roman" w:hAnsi="Times New Roman"/>
          <w:sz w:val="24"/>
        </w:rPr>
        <w:t xml:space="preserve"> requires intensive monitoring and support to promote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progress through the stages of change;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he client is in immediate danger of continued severe substance use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relapse and such behaviors present significant risk of serious adverse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consequences to the client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or </w:t>
      </w:r>
      <w:r>
        <w:rPr>
          <w:rFonts w:ascii="Times New Roman" w:hAnsi="Times New Roman"/>
          <w:sz w:val="24"/>
          <w:lang w:val="en-US" w:bidi="en-US" w:eastAsia="en-US"/>
        </w:rPr>
        <w:t xml:space="preserve">to </w:t>
      </w:r>
      <w:r>
        <w:rPr>
          <w:rFonts w:ascii="Times New Roman" w:hAnsi="Times New Roman"/>
          <w:sz w:val="24"/>
        </w:rPr>
        <w:t>others</w:t>
      </w:r>
      <w:r>
        <w:rPr>
          <w:rFonts w:ascii="Times New Roman" w:hAnsi="Times New Roman"/>
          <w:sz w:val="24"/>
        </w:rPr>
        <w:t>;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he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recovery environment poses a threat to safety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engagement in treatment or both.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2023-11-25T21:18:20Z</dcterms:created>
  <cp:lastModifiedBy>Kelly Thompson</cp:lastModifiedBy>
  <dcterms:modified xsi:type="dcterms:W3CDTF">2023-11-25T21:22:51Z</dcterms:modified>
  <cp:revision>2</cp:revision>
</cp:coreProperties>
</file>