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PREADMISSION SCREENING AND RESIDENT REVIEW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(Repealed)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67:62:15:01</w:t>
        <w:tab/>
        <w:tab/>
        <w:t>Definitions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67:62:15:02</w:t>
        <w:tab/>
        <w:tab/>
        <w:t>Level I screening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67:62:15:03</w:t>
        <w:tab/>
        <w:tab/>
        <w:t>Level II review exemptions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67:62:15:04</w:t>
        <w:tab/>
        <w:tab/>
        <w:t>Exempt hospital discharge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67:62:15:05</w:t>
        <w:tab/>
        <w:tab/>
        <w:t>Categorical determinations for Level I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67:62:15:06</w:t>
        <w:tab/>
        <w:tab/>
        <w:t>Level II review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67:62:15:07</w:t>
        <w:tab/>
        <w:tab/>
        <w:t>Level II determination -- Data requirements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67:62:15:08</w:t>
        <w:tab/>
        <w:tab/>
        <w:t>Determination of services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67:62:15:09</w:t>
        <w:tab/>
        <w:tab/>
        <w:t>Determination of specialized mental health services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67:62:15:10</w:t>
        <w:tab/>
        <w:tab/>
        <w:t>Timeliness of determinations of Level II review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67:62:15:11</w:t>
        <w:tab/>
        <w:tab/>
        <w:t>Notification of Level II determination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67:62:15:12</w:t>
        <w:tab/>
        <w:tab/>
        <w:t>Determination may not be countermanded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67:62:15:13</w:t>
        <w:tab/>
        <w:tab/>
        <w:t>Appeal of ineligibility of Level II determination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67:62:15:14</w:t>
        <w:tab/>
        <w:tab/>
        <w:t>Length of stay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980" w:left="19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67:62:15:15</w:t>
        <w:tab/>
        <w:tab/>
        <w:t>Individuals not requiring swing bed or nursing facility services but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requiring mental health services -- 30 month determination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67:62:15:16</w:t>
        <w:tab/>
        <w:tab/>
        <w:t>Significant change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67:62:15:17</w:t>
        <w:tab/>
        <w:tab/>
        <w:t>New admission and readmission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67:62:15:18</w:t>
        <w:tab/>
        <w:tab/>
        <w:t>Interfacility transfers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67:62:15:19</w:t>
        <w:tab/>
        <w:tab/>
        <w:t>Out of state placement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2023-11-27T02:02:54Z</dcterms:created>
  <cp:lastModifiedBy>Kelly Thompson</cp:lastModifiedBy>
  <dcterms:modified xsi:type="dcterms:W3CDTF">2025-10-22T14:06:51Z</dcterms:modified>
  <cp:revision>3</cp:revision>
</cp:coreProperties>
</file>