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15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</w:rPr>
        <w:t>.  Exempt hospital discharge.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2016; 50 SDR 63, effective November 27, 2023</w:t>
      </w:r>
      <w:r>
        <w:rPr>
          <w:rFonts w:ascii="Times New Roman" w:hAnsi="Times New Roman"/>
          <w:sz w:val="24"/>
          <w:lang w:val="en-US" w:bidi="en-US" w:eastAsia="en-US"/>
        </w:rPr>
        <w:t>; 52 SDR 41, effective October 27, 2025</w:t>
      </w:r>
      <w:r>
        <w:rPr>
          <w:rFonts w:ascii="Times New Roman" w:hAnsi="Times New Roman"/>
          <w:sz w:val="24"/>
        </w:rPr>
        <w:t>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2023-11-26T23:09:27Z</dcterms:created>
  <cp:lastModifiedBy>Kelly Thompson</cp:lastModifiedBy>
  <dcterms:modified xsi:type="dcterms:W3CDTF">2025-10-22T13:33:42Z</dcterms:modified>
  <cp:revision>6</cp:revision>
</cp:coreProperties>
</file>