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15:05</w:t>
      </w:r>
      <w:r>
        <w:rPr>
          <w:rFonts w:ascii="Times New Roman" w:hAnsi="Times New Roman"/>
          <w:b w:val="1"/>
          <w:sz w:val="24"/>
        </w:rPr>
        <w:t>  Categorical determinations for Level I.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</w:t>
      </w:r>
      <w:r>
        <w:rPr>
          <w:rFonts w:ascii="Times New Roman" w:hAnsi="Times New Roman"/>
          <w:sz w:val="24"/>
          <w:lang w:val="en-US" w:bidi="en-US" w:eastAsia="en-US"/>
        </w:rPr>
        <w:t>; 52 SDR 41, effective October 27, 2025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2025-10-22T13:34:00Z</dcterms:created>
  <cp:lastModifiedBy>Kelly Thompson</cp:lastModifiedBy>
  <dcterms:modified xsi:type="dcterms:W3CDTF">2025-10-22T13:34:50Z</dcterms:modified>
  <cp:revision>2</cp:revision>
</cp:coreProperties>
</file>