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Level II review.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2023-11-26T23:12:41Z</dcterms:created>
  <cp:lastModifiedBy>Kelly Thompson</cp:lastModifiedBy>
  <dcterms:modified xsi:type="dcterms:W3CDTF">2025-10-22T13:35:52Z</dcterms:modified>
  <cp:revision>5</cp:revision>
</cp:coreProperties>
</file>