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19F7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Top prize liability limits.</w:t>
      </w:r>
      <w:r>
        <w:rPr>
          <w:rFonts w:ascii="Times New Roman" w:hAnsi="Times New Roman"/>
          <w:sz w:val="24"/>
        </w:rPr>
        <w:t xml:space="preserve"> The winner or winners of the top prize who 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not required to receive a lump sum cash payment and who do not request the cash option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paid their appropriate prize share on an annual basis for a minimum period of twenty years.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initial prize payment shall be made when the prize is claimed at the lottery's office;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subsequent prize payments shall be made annually thereafter.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146</w:t>
      </w:r>
      <w:r>
        <w:rPr>
          <w:rFonts w:ascii="Times New Roman" w:hAnsi="Times New Roman"/>
          <w:sz w:val="24"/>
        </w:rPr>
        <w:t>, effective M</w:t>
      </w:r>
      <w:r>
        <w:rPr>
          <w:rFonts w:ascii="Times New Roman" w:hAnsi="Times New Roman"/>
          <w:sz w:val="24"/>
          <w:lang w:val="en-US" w:bidi="en-US" w:eastAsia="en-US"/>
        </w:rPr>
        <w:t>ay 24,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42-7A-21(1)(3)(17).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42-7A-21(3)</w:t>
      </w:r>
      <w:r>
        <w:rPr>
          <w:rFonts w:ascii="Times New Roman" w:hAnsi="Times New Roman"/>
          <w:sz w:val="24"/>
          <w:lang w:val="en-US" w:bidi="en-US" w:eastAsia="en-US"/>
        </w:rPr>
        <w:t>, 42-7A-23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