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1F39FB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Second prize liability limits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winner or winners of the second prize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who are not required to receive a lump sum cash payment and who do not request the cash option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be paid their appropriate prize share on an annual basis for a minimum period of twenty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years. The initial prize payment shall be made when the prize is claimed at the lottery's office;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subsequent prize payments shall be made annually thereafter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146</w:t>
      </w:r>
      <w:r>
        <w:rPr>
          <w:rFonts w:ascii="Times New Roman" w:hAnsi="Times New Roman"/>
          <w:sz w:val="24"/>
        </w:rPr>
        <w:t>, effective M</w:t>
      </w:r>
      <w:r>
        <w:rPr>
          <w:rFonts w:ascii="Times New Roman" w:hAnsi="Times New Roman"/>
          <w:sz w:val="24"/>
          <w:lang w:val="en-US" w:bidi="en-US" w:eastAsia="en-US"/>
        </w:rPr>
        <w:t>ay 24,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42-7A-21(1)(3)(17).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42-7A-21</w:t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, 42-7A-23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