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263F81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Attorney general selection of mobile breath alcohol testing device -- Minimum requirements for mobile breath alcohol testing device.</w:t>
      </w:r>
      <w:r>
        <w:rPr>
          <w:rFonts w:ascii="Times New Roman" w:hAnsi="Times New Roman"/>
          <w:sz w:val="24"/>
        </w:rPr>
        <w:t xml:space="preserve"> Each participant shall use a mobile breath alcohol testing device selected by the Attorney General. The Attorney General may not select a device unless it conforms to the following minimum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device is able to perform scheduled, random, and on-demand tests;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device provides a GPS location of where each test is conducted;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T</w:t>
      </w:r>
      <w:r>
        <w:rPr>
          <w:rFonts w:ascii="Times New Roman" w:hAnsi="Times New Roman"/>
          <w:sz w:val="24"/>
        </w:rPr>
        <w:t>he device submits a digital photograph when each test is provided that is compared with an enrollment photograph using facial recognition software;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device provides immediate notification of a missed test, failed test, or a test where facial recognition is not confirmed to the participating agency;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device is able to provide the text message notification of an upcoming test to a participant.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SL 2017, ch 3, § 11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July 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1-11-24.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1-11-24</w:t>
      </w:r>
      <w:r>
        <w:rPr>
          <w:rFonts w:ascii="Times New Roman" w:hAnsi="Times New Roman"/>
          <w:sz w:val="24"/>
          <w:lang w:val="en-US" w:bidi="en-US" w:eastAsia="en-US"/>
        </w:rPr>
        <w:t>(1)(2), 32-23-23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