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4AE042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Certificate for administrator assignment required.</w:t>
      </w:r>
      <w:r>
        <w:rPr>
          <w:rFonts w:ascii="Times New Roman" w:hAnsi="Times New Roman"/>
          <w:sz w:val="24"/>
        </w:rPr>
        <w:t xml:space="preserve"> A person employed as a superintendent, assistant superintendent, principal, or assistant principal in kindergarten through grade 12 shall hold a certificate valid for the position to which the administrator is assigned.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175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Jul</w:t>
      </w:r>
      <w:r>
        <w:rPr>
          <w:rFonts w:ascii="Times New Roman" w:hAnsi="Times New Roman"/>
          <w:sz w:val="24"/>
          <w:lang w:val="en-US" w:bidi="en-US" w:eastAsia="en-US"/>
        </w:rPr>
        <w:t>y</w:t>
      </w:r>
      <w:r>
        <w:rPr>
          <w:rFonts w:ascii="Times New Roman" w:hAnsi="Times New Roman"/>
          <w:sz w:val="24"/>
          <w:lang w:val="en-US" w:bidi="en-US" w:eastAsia="en-US"/>
        </w:rPr>
        <w:t xml:space="preserve"> 3, 2017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13-1-12.1, 13-42-1 to 13-42-4, inclusive,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