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19</w:t>
      </w:r>
      <w:r>
        <w:rPr>
          <w:rFonts w:ascii="Times New Roman" w:hAnsi="Times New Roman"/>
          <w:b w:val="1"/>
          <w:sz w:val="24"/>
        </w:rPr>
        <w:t>.  Renewal requirements for the alternative preliminary certificate.</w:t>
      </w:r>
      <w:r>
        <w:rPr>
          <w:rFonts w:ascii="Times New Roman" w:hAnsi="Times New Roman"/>
          <w:sz w:val="24"/>
        </w:rPr>
        <w:t xml:space="preserve"> The alternative preliminary certificate is valid for two years. The applicant for a renewed alternative preliminary certificate shall</w:t>
      </w:r>
      <w:r>
        <w:rPr>
          <w:rFonts w:ascii="Times New Roman" w:hAnsi="Times New Roman"/>
          <w:sz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(1)  Complete the applicable renewal application form provided by the Depart</w:t>
      </w:r>
      <w:r>
        <w:rPr>
          <w:rFonts w:ascii="Times New Roman" w:hAnsi="Times New Roman"/>
          <w:sz w:val="24"/>
          <w:lang w:val="en-US" w:bidi="en-US" w:eastAsia="en-US"/>
        </w:rPr>
        <w:t>ment;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Pay an</w:t>
      </w:r>
      <w:r>
        <w:rPr>
          <w:rFonts w:ascii="Times New Roman" w:hAnsi="Times New Roman"/>
          <w:sz w:val="24"/>
          <w:lang w:val="en-US" w:bidi="en-US" w:eastAsia="en-US"/>
        </w:rPr>
        <w:t>y application fee as provided in chapter 24:28:05.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43 SDR 175, effective July 3, 2017</w:t>
      </w:r>
      <w:r>
        <w:rPr>
          <w:rFonts w:ascii="Times New Roman" w:hAnsi="Times New Roman"/>
          <w:sz w:val="24"/>
          <w:lang w:val="en-US" w:bidi="en-US" w:eastAsia="en-US"/>
        </w:rPr>
        <w:t>; 50 SDR 158, effective July 3,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13-42-3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13-1-12.1, 13-42-1 to 13-42-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, inclusive, 13-42-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, 13-42-72,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2024-07-01T16:35:25Z</dcterms:created>
  <cp:lastModifiedBy>Kelly Thompson</cp:lastModifiedBy>
  <dcterms:modified xsi:type="dcterms:W3CDTF">2024-07-01T16:37:33Z</dcterms:modified>
  <cp:revision>2</cp:revision>
</cp:coreProperties>
</file>