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27</w:t>
      </w:r>
      <w:r>
        <w:rPr>
          <w:rFonts w:ascii="Times New Roman" w:hAnsi="Times New Roman"/>
          <w:b w:val="1"/>
          <w:sz w:val="24"/>
        </w:rPr>
        <w:t>.  Renewal requirements for an athletic coaching permit.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175, effective July 3, 2017</w:t>
      </w:r>
      <w:r>
        <w:rPr>
          <w:rFonts w:ascii="Times New Roman" w:hAnsi="Times New Roman"/>
          <w:sz w:val="24"/>
          <w:lang w:val="en-US" w:bidi="en-US" w:eastAsia="en-US"/>
        </w:rPr>
        <w:t>; 50 SDR 158, effective July 3,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2024-07-01T18:41:57Z</dcterms:created>
  <cp:lastModifiedBy>Kelly Thompson</cp:lastModifiedBy>
  <dcterms:modified xsi:type="dcterms:W3CDTF">2024-07-01T18:42:51Z</dcterms:modified>
  <cp:revision>2</cp:revision>
</cp:coreProperties>
</file>