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FD7E434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</w:rPr>
        <w:t>.  C</w:t>
      </w:r>
      <w:r>
        <w:rPr>
          <w:rFonts w:ascii="Times New Roman" w:hAnsi="Times New Roman"/>
          <w:b w:val="1"/>
          <w:sz w:val="24"/>
        </w:rPr>
        <w:t>e</w:t>
      </w:r>
      <w:r>
        <w:rPr>
          <w:rFonts w:ascii="Times New Roman" w:hAnsi="Times New Roman"/>
          <w:b w:val="1"/>
          <w:sz w:val="24"/>
          <w:lang w:val="en-US" w:bidi="en-US" w:eastAsia="en-US"/>
        </w:rPr>
        <w:t>rtificates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Upon approval of licensure by the board, the board shall issue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to the licensee a certificate of licensure and a license number for display in the licensee's principal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place of practice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42, effective September 11,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36-38-27.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36-38-27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