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96CE89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  <w:lang w:val="en-US" w:bidi="en-US" w:eastAsia="en-US"/>
        </w:rPr>
        <w:t>Violations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violation of any of the provisions of the Professional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Ethical Compliance Code may be grounds for cancellation or revocation of licensure pursuant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SDCL 36-38-12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42, effective September 11,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</w:t>
      </w:r>
      <w:r>
        <w:rPr>
          <w:rFonts w:ascii="Times New Roman" w:hAnsi="Times New Roman"/>
          <w:sz w:val="24"/>
          <w:lang w:val="en-US" w:bidi="en-US" w:eastAsia="en-US"/>
        </w:rPr>
        <w:t>-38-27.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36-38-12, 36-38-13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