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DCF380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Reports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owner or operator shall provide the pertinent data necessary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comply with the requirements of all applicable administrative rules and statutes.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owner or operator shall report any incident or event where there is reasonable cause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suspect abuse or neglect of any resident by any person within 24 hours of becoming informed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alleged incident or event. The owner or operator shall report each incident or event orally or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writing to the state's attorney of the county in which the home is located, to the Department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Human Services, or to a law enforcement officer. The owner or operator shall report each incident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 event to the department within 24 hours, and conduct a subsequent internal investigation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 a written report of the results to the department within five working days after the event.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owner or operator shall report to the department within 24 hours of the event any death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resulting from other than natural causes originating on home property such as accidents or suicide.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owner or operator shall conduct a subsequent internal investigation and provide a written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report of the results to the department within five working days after the event.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owner or operator shall report a missing resident to the department within 48 hours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incident. The owner or operator shall conduct a subsequent internal investigation and provide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written report of the results to the department within five working days after the incident.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owner or operator shall also report to the department as soon as possible any fire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damage or where injury or death occurs; any partial or complete evacuation of the home resulting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natural disaster; or any loss of utilities, such as electricity, natural gas, telephone services, fire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alarm, and other critical equipment necessary for operation of the community living home for more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than 24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owner or operator shall notify the department of any anticipated closure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discontinuation of service at least 30 days in advance of the effective date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