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05</w:t>
      </w:r>
      <w:r>
        <w:rPr>
          <w:rFonts w:ascii="Times New Roman" w:hAnsi="Times New Roman"/>
          <w:b w:val="1"/>
          <w:sz w:val="24"/>
        </w:rPr>
        <w:t>.  Water supply.</w:t>
      </w:r>
      <w:r>
        <w:rPr>
          <w:rFonts w:ascii="Times New Roman" w:hAnsi="Times New Roman"/>
          <w:sz w:val="24"/>
        </w:rPr>
        <w:t xml:space="preserve"> The community living home's water supply shall be obtained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from a public water system or, in its absence, from a supply approved by the Department of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Agriculture</w:t>
      </w:r>
      <w:r>
        <w:rPr>
          <w:rFonts w:ascii="Times New Roman" w:hAnsi="Times New Roman"/>
          <w:sz w:val="24"/>
        </w:rPr>
        <w:t xml:space="preserve"> and Natural Resources. Any private water supply shall have a water sample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bacteriologically tested at least annually and the testing results shall be provided to the department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at the time the test results are available. The volume of water shall be sufficient for the needs of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the community living home. The hot water system shall be capable of supplying the work and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resident areas with water at the required temperatures. Maximum hot water temperatures at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plumbing fixtures used by residents may not exceed 125 degrees Fahrenheit (52 degrees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centigrade). The minimum temperature of hot water for resident use shall be at least 100 degrees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Fahrenheit (38 degrees centigrade).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44 SDR 66, effective October 17, 2017</w:t>
      </w:r>
      <w:r>
        <w:rPr>
          <w:rFonts w:ascii="Times New Roman" w:hAnsi="Times New Roman"/>
          <w:sz w:val="24"/>
          <w:lang w:val="en-US" w:bidi="en-US" w:eastAsia="en-US"/>
        </w:rPr>
        <w:t xml:space="preserve">; SL 2021, ch 1, </w:t>
      </w:r>
      <w:r>
        <w:rPr>
          <w:rFonts w:ascii="Times New Roman" w:hAnsi="Times New Roman"/>
          <w:sz w:val="24"/>
          <w:lang w:val="en-US" w:bidi="en-US" w:eastAsia="en-US"/>
        </w:rPr>
        <w:t>§</w:t>
      </w:r>
      <w:r>
        <w:rPr>
          <w:rFonts w:ascii="Times New Roman" w:hAnsi="Times New Roman"/>
          <w:sz w:val="24"/>
          <w:lang w:val="en-US" w:bidi="en-US" w:eastAsia="en-US"/>
        </w:rPr>
        <w:t xml:space="preserve">§ </w:t>
      </w:r>
      <w:r>
        <w:rPr>
          <w:rFonts w:ascii="Times New Roman" w:hAnsi="Times New Roman"/>
          <w:sz w:val="24"/>
          <w:lang w:val="en-US" w:bidi="en-US" w:eastAsia="en-US"/>
        </w:rPr>
        <w:t>8</w:t>
      </w:r>
      <w:r>
        <w:rPr>
          <w:rFonts w:ascii="Times New Roman" w:hAnsi="Times New Roman"/>
          <w:sz w:val="24"/>
          <w:lang w:val="en-US" w:bidi="en-US" w:eastAsia="en-US"/>
        </w:rPr>
        <w:t>, 19, effective April 19, 2021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34-12-13(3).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34-12-13(3).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2021-03-22T18:44:24Z</dcterms:created>
  <cp:lastModifiedBy>Rhonda Purkapile</cp:lastModifiedBy>
  <dcterms:modified xsi:type="dcterms:W3CDTF">2021-03-22T18:45:11Z</dcterms:modified>
  <cp:revision>2</cp:revision>
</cp:coreProperties>
</file>