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4B1635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Location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location of the community living home shall promote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health, comfort, safety, and well-being of its residents, and may not create barriers to integration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and participation in the broader community. Easy access for care providers, visitors, first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responders, and fire-fighting services shall be maintained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34-12-13(1)(3)(</w:t>
      </w:r>
      <w:r>
        <w:rPr>
          <w:rFonts w:ascii="Times New Roman" w:hAnsi="Times New Roman"/>
          <w:sz w:val="24"/>
          <w:lang w:val="en-US" w:bidi="en-US" w:eastAsia="en-US"/>
        </w:rPr>
        <w:t>14).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34-12-13(1)(3)(14)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