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F5A20E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General fire safety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Each community living home shall meet the applicable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f</w:t>
      </w:r>
      <w:r>
        <w:rPr>
          <w:rFonts w:ascii="Times New Roman" w:hAnsi="Times New Roman"/>
          <w:sz w:val="24"/>
        </w:rPr>
        <w:t>ire safety standards of One- and Two- Family Dwellings in the Life Safety Code in NFPA 101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Life Safety Code, 2012 edition. Each community living home shall be constructed, arranged,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equipped, maintained, and operated to avoid undue danger to the lives and safety of its occupants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from fire, smoke, fumes, or resulting panic during the period of time reasonably necessary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escape from the structure in case of fire or other emergency. Compliance with this section does not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eliminate or reduce the necessity for other provisions for safety of persons using the structure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under normal occupancy conditions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66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Octo</w:t>
      </w:r>
      <w:r>
        <w:rPr>
          <w:rFonts w:ascii="Times New Roman" w:hAnsi="Times New Roman"/>
          <w:sz w:val="24"/>
          <w:lang w:val="en-US" w:bidi="en-US" w:eastAsia="en-US"/>
        </w:rPr>
        <w:t>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Reference: NFPA 101 Life Safety Code</w:t>
      </w:r>
      <w:r>
        <w:rPr>
          <w:rFonts w:ascii="Times New Roman" w:hAnsi="Times New Roman"/>
          <w:sz w:val="24"/>
          <w:lang w:val="en-US" w:bidi="en-US" w:eastAsia="en-US"/>
        </w:rPr>
        <w:t>, 2012 edition, National Fire Protection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Association. Copies may be obtained from the National Fire Protection Association, P.O. Box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9101, Quincy, Massachusetts 02269-9101. Phone: 1-800-344-3555. Cost: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$</w:t>
      </w:r>
      <w:r>
        <w:rPr>
          <w:rFonts w:ascii="Times New Roman" w:hAnsi="Times New Roman"/>
          <w:sz w:val="24"/>
          <w:lang w:val="en-US" w:bidi="en-US" w:eastAsia="en-US"/>
        </w:rPr>
        <w:t>101.00.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