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43EC1F21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4</w:t>
      </w:r>
      <w:r>
        <w:rPr>
          <w:rFonts w:ascii="Times New Roman" w:hAnsi="Times New Roman"/>
          <w:b w:val="1"/>
          <w:sz w:val="24"/>
          <w:lang w:val="en-US" w:bidi="en-US" w:eastAsia="en-US"/>
        </w:rPr>
        <w:t>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82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03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02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Evacuation plan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An owner or operator shall have a written evacuation plan,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and shall inform the residents of the plan and conduct fire safety drills on an annual basis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44 SDR 66, effective October 17, 2017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34-12-13(3).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34-12-13(3)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