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BA99EB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New construction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provisions of this section apply to all newly licensed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community living homes and to any renovation, addition, and change in space use of currently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approved existing homes.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An automatic sprinkler system is not required in a community living home</w:t>
      </w:r>
      <w:r>
        <w:rPr>
          <w:rFonts w:ascii="Times New Roman" w:hAnsi="Times New Roman"/>
          <w:sz w:val="24"/>
        </w:rPr>
        <w:t xml:space="preserve"> unless required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by the local municipality issuing the building permit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