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743F40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Resident records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ensure confidentiality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safeguarding of resident records. Records for each resident shall be maintained while the resident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is residing in the home and for an appropriate amount of time thereafter. The home may arrange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storage or transfer of resident records with another licensed home, or at the request of the resident,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relinquish records to the resident or the resident's legal representative, or arrange storage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remaining medical records with a third party vendor who undertakes such a storage activity. 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least 30 days before closure, the owner or operator shall notify the department in writing indicating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provisions for the safe preservation of resident records and their location. If ownership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community living home is transferred, the new owner shall maintain the resident records as if there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was not a change in ownership. Resident records at a minimum shall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Current basic health information including a list of medications, allergies, diet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requirements, and daily health needs;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name and contact information of the resident's physician and other health care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professionals involved with the resident's care;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name and contact information of the resident's preferred emergency contacts,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immediate family members, and health care representative or power of attorney;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An evaluation of the resident's individualized and independent residential community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living support needs completed within the past year, or upon a significant change in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resident's condition requiring notification pursuant to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44:82:06:04, that is recorded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form approved by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current plan of care, as agreed to by the resident or the resident's legal representative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the owner or operator, updated at least annually;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Any reports of suspicion of abuse or neglect reported to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Disposition of medications that were outdated or disposed;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Discharge information including disposition of medications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34-12-13(10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