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EEC3DC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Application of chapter - resident rights.</w:t>
      </w:r>
      <w:r>
        <w:rPr>
          <w:rFonts w:ascii="Times New Roman" w:hAnsi="Times New Roman"/>
          <w:sz w:val="24"/>
        </w:rPr>
        <w:t xml:space="preserve"> An owner, operator, or care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provider shall conduct practices consistent with this chapter to protect and promote the rights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each resident.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