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2A30963A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4</w:t>
      </w:r>
      <w:r>
        <w:rPr>
          <w:rFonts w:ascii="Times New Roman" w:hAnsi="Times New Roman"/>
          <w:b w:val="1"/>
          <w:sz w:val="24"/>
          <w:lang w:val="en-US" w:bidi="en-US" w:eastAsia="en-US"/>
        </w:rPr>
        <w:t>4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82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06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02</w:t>
      </w:r>
      <w:r>
        <w:rPr>
          <w:rFonts w:ascii="Times New Roman" w:hAnsi="Times New Roman"/>
          <w:b w:val="1"/>
          <w:sz w:val="24"/>
        </w:rPr>
        <w:t>.  </w:t>
      </w:r>
      <w:r>
        <w:rPr>
          <w:rFonts w:ascii="Times New Roman" w:hAnsi="Times New Roman"/>
          <w:b w:val="1"/>
          <w:sz w:val="24"/>
        </w:rPr>
        <w:t>Owner or operator to inform resident of rights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Prior to or at the time of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admission, an owner or operator shall inform the resident, both orally and in writing, of the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resident's rights and of the rules governing the resident's conduct and responsibilities while living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in the home. Any subsequent modifications to the resident's rights and rules governing the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resident's conduct and responsibilities shall be communicated, both orally and in writing, to the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resident. The information shall contain the following: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(1)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The resident's ability to exercise the resident's rights as a resident of the home and as a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citizen of the United States;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(2)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The resident's right to be free of interference, coercion, discrimination, and reprisal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from the home in exercising the resident's rights;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(3)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The resident's right to have a person appointed to act on the resident's behalf. If a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resident has been adjudged incompetent or incapacitated, the resident's rights shall be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exercised by the person appointed under state law to act on the resident's behalf. If a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resident has not been adjudged to be incompetent or incapacitated, the resident's rights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may be exercised by the legal surrogate recognized under state law, whether statutory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or as recognized by the courts of the state to act on the resident's behalf. The home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shall record and keep up to date the appointed person's address and phone number;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(</w:t>
      </w:r>
      <w:r>
        <w:rPr>
          <w:rFonts w:ascii="Times New Roman" w:hAnsi="Times New Roman"/>
          <w:sz w:val="24"/>
        </w:rPr>
        <w:t>4)</w:t>
      </w:r>
      <w:r>
        <w:rPr>
          <w:rFonts w:ascii="Times New Roman" w:hAnsi="Times New Roman"/>
          <w:sz w:val="24"/>
          <w:lang w:val="en-US" w:bidi="en-US" w:eastAsia="en-US"/>
        </w:rPr>
        <w:t xml:space="preserve">  </w:t>
      </w:r>
      <w:r>
        <w:rPr>
          <w:rFonts w:ascii="Times New Roman" w:hAnsi="Times New Roman"/>
          <w:sz w:val="24"/>
        </w:rPr>
        <w:t>The resident's right to access the resident's own records;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(5)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The resident's right to be fully informed of the resident's total health status, including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functional status, medical care, nursing care, nutritional status, rehabilitation and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restorative potential, activities potential, cognitive status, oral health, psychosocial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status, and sensory and physical impairments;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(</w:t>
      </w:r>
      <w:r>
        <w:rPr>
          <w:rFonts w:ascii="Times New Roman" w:hAnsi="Times New Roman"/>
          <w:sz w:val="24"/>
        </w:rPr>
        <w:t>6)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The resident's right to refuse treatment and to refuse to participate in experimental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research. A resident's right to refuse treatment does not absolve an owner, operator, or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care provider from responsibility to provide for necessary medical services and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treatment. Any resident who refuses treatment shall be informed of the results of that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refusal, plus any alternatives that may be available;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(7)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The resident's right to formulate a durable power of attorney for health care as provided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in SDCL chapter 59-7 and a living will declaration as provided in SDCL chapter 34-</w:t>
      </w:r>
      <w:r>
        <w:rPr>
          <w:rFonts w:ascii="Times New Roman" w:hAnsi="Times New Roman"/>
          <w:sz w:val="24"/>
        </w:rPr>
        <w:t>12D;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(8)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The resident's right to receive visitors. Visiting hours and policies of the home shall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permit and encourage the visiting of residents by friends and relatives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44 SDR 6</w:t>
      </w:r>
      <w:r>
        <w:rPr>
          <w:rFonts w:ascii="Times New Roman" w:hAnsi="Times New Roman"/>
          <w:sz w:val="24"/>
          <w:lang w:val="en-US" w:bidi="en-US" w:eastAsia="en-US"/>
        </w:rPr>
        <w:t>6</w:t>
      </w:r>
      <w:r>
        <w:rPr>
          <w:rFonts w:ascii="Times New Roman" w:hAnsi="Times New Roman"/>
          <w:sz w:val="24"/>
        </w:rPr>
        <w:t>, effective October 17, 2017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34-12-13(15).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34-12-13(15</w:t>
      </w:r>
      <w:r>
        <w:rPr>
          <w:rFonts w:ascii="Times New Roman" w:hAnsi="Times New Roman"/>
          <w:sz w:val="24"/>
          <w:lang w:val="en-US" w:bidi="en-US" w:eastAsia="en-US"/>
        </w:rPr>
        <w:t>)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