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4E3481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Admission, transfer, and discharge policies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owner or operator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establish and maintain policies and practices for admission, discharge, and transfer of residents that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prohibit discrimination based upon payment source. The owner or operator shall notify each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resident at or before the time of admission of these policies and practices. The policies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practices shall include the following provisions: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</w:rPr>
        <w:t>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resident may remain in the home and may not be transferred or discharged unless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resident's needs and welfare cannot be met by the home, the safety or health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persons in the home is endangered by the resident, the resident has failed to pay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allowable billed services as agreed to, or the home ceases to operate;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owner or operator shall notify the resident and a family member or resident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advocate, in writing, at least 30 days before the transfer or discharge unless a change 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resident's health requires immediate transfer or discharge. The written notice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specify the reason for and effective date of the transfer or discharge and the location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which the resident will be transferred or discharged;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conditions under which the resident may request or refuse transfer within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home;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description of how the resident may appeal a decision by the owner or operator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transfer or discharge the resident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