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Grounds for denial of application</w:t>
      </w:r>
      <w:r>
        <w:rPr>
          <w:rFonts w:ascii="Times New Roman" w:hAnsi="Times New Roman"/>
          <w:b w:val="1"/>
          <w:sz w:val="24"/>
        </w:rPr>
        <w:t xml:space="preserve"> or removal from registry.</w:t>
      </w:r>
      <w:r>
        <w:rPr>
          <w:rFonts w:ascii="Times New Roman" w:hAnsi="Times New Roman"/>
          <w:sz w:val="24"/>
        </w:rPr>
        <w:t xml:space="preserve"> The board, in compliance with SDCL</w:t>
      </w:r>
      <w:r>
        <w:rPr>
          <w:rFonts w:ascii="Times New Roman" w:hAnsi="Times New Roman"/>
          <w:sz w:val="24"/>
          <w:lang w:val="en-US" w:bidi="en-US" w:eastAsia="en-US"/>
        </w:rPr>
        <w:t xml:space="preserve"> c</w:t>
      </w:r>
      <w:r>
        <w:rPr>
          <w:rFonts w:ascii="Times New Roman" w:hAnsi="Times New Roman"/>
          <w:sz w:val="24"/>
        </w:rPr>
        <w:t>hapter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 xml:space="preserve"> 1-26</w:t>
      </w:r>
      <w:r>
        <w:rPr>
          <w:rFonts w:ascii="Times New Roman" w:hAnsi="Times New Roman"/>
          <w:sz w:val="24"/>
          <w:lang w:val="en-US" w:bidi="en-US" w:eastAsia="en-US"/>
        </w:rPr>
        <w:t xml:space="preserve"> and 36-1C</w:t>
      </w:r>
      <w:r>
        <w:rPr>
          <w:rFonts w:ascii="Times New Roman" w:hAnsi="Times New Roman"/>
          <w:sz w:val="24"/>
        </w:rPr>
        <w:t xml:space="preserve">, may deny an applicant or remove a registrant </w:t>
      </w:r>
      <w:r>
        <w:rPr>
          <w:rFonts w:ascii="Times New Roman" w:hAnsi="Times New Roman"/>
          <w:sz w:val="24"/>
          <w:lang w:val="en-US" w:bidi="en-US" w:eastAsia="en-US"/>
        </w:rPr>
        <w:t>upon proof that the applicant or registrant has: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Committed fraud, deceit, or misrepresentation in procuring or attempting to procure registration;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Been convicted of a felony. The conviction of a felony means the conviction of any offense that, if committed within this state, would constitute a felony under its laws;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Committed an alcohol or drug related act or offense that interferes with the ability to practice as a registrant safely;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Negligently, willfully, or intentionally acted in a manner inconsistent with the health or safety of a person entrusted to the registrant’s care;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Had any license or registration denied, revoked, or suspended or had other disciplinary action taken;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Violated any provision of chapter 36-9 or this article;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Practiced during a time the registrant’s registration is lapsed;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Engaged in unsafe practice, substandard care, or unprofessional or dishonorable conduct;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(9)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Violated confidentiality, patient privacy, consent, or disclosure of patient information;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(10)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Engaged in sexual harassment, sexual contact, or exercised influence within the registrant-patient relationship for the purpose of engaging a patient in sexual activity.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A revoked registration may be reissued at the discretion of the board upon a finding of good cause.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44 SDR 81, effective November 6, 2017</w:t>
      </w:r>
      <w:r>
        <w:rPr>
          <w:rFonts w:ascii="Times New Roman" w:hAnsi="Times New Roman"/>
          <w:sz w:val="24"/>
          <w:lang w:val="en-US" w:bidi="en-US" w:eastAsia="en-US"/>
        </w:rPr>
        <w:t>; 49 SDR 1, effective July 6,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36-9-2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  <w:lang w:val="en-US" w:bidi="en-US" w:eastAsia="en-US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  <w:lang w:val="en-US" w:bidi="en-US" w:eastAsia="en-US"/>
        </w:rPr>
        <w:t>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36-9-21(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2022-07-05T18:55:18Z</dcterms:created>
  <cp:lastModifiedBy>Kelly Thompson</cp:lastModifiedBy>
  <dcterms:modified xsi:type="dcterms:W3CDTF">2022-07-05T19:02:33Z</dcterms:modified>
  <cp:revision>5</cp:revision>
</cp:coreProperties>
</file>