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Letter of compliance required.</w:t>
      </w:r>
      <w:r>
        <w:rPr>
          <w:rFonts w:ascii="Times New Roman" w:hAnsi="Times New Roman"/>
          <w:sz w:val="24"/>
        </w:rPr>
        <w:t xml:space="preserve"> Prior to providing shared living or</w:t>
      </w:r>
      <w:r>
        <w:rPr>
          <w:rFonts w:ascii="Times New Roman" w:hAnsi="Times New Roman"/>
          <w:sz w:val="24"/>
          <w:lang w:val="en-US" w:bidi="en-US" w:eastAsia="en-US"/>
        </w:rPr>
        <w:t xml:space="preserve"> relief care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to a participant, a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shall meet the requirements of this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chapter for the issuance of a letter of 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 letter of compliance, issued to a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by the provider,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specify the location,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maximum capacity of the shared living home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that the home is not owned or leased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provider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Any letter issued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denote the name </w:t>
      </w:r>
      <w:r>
        <w:rPr>
          <w:rFonts w:ascii="Times New Roman" w:hAnsi="Times New Roman"/>
          <w:sz w:val="24"/>
          <w:lang w:val="en-US" w:bidi="en-US" w:eastAsia="en-US"/>
        </w:rPr>
        <w:t xml:space="preserve">and address </w:t>
      </w:r>
      <w:r>
        <w:rPr>
          <w:rFonts w:ascii="Times New Roman" w:hAnsi="Times New Roman"/>
          <w:sz w:val="24"/>
        </w:rPr>
        <w:t xml:space="preserve">of the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on the face of the letter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Each provider administering one or more shared living homes shall have a sample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homes inspected by the division as part of the biennial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Each provider issuing a letter of compliance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certified under article 46:11.</w:t>
      </w:r>
      <w:r>
        <w:rPr>
          <w:rFonts w:ascii="Times New Roman" w:hAnsi="Times New Roman"/>
          <w:sz w:val="24"/>
          <w:lang w:val="en-US" w:bidi="en-US" w:eastAsia="en-US"/>
        </w:rPr>
        <w:t xml:space="preserve"> Each provider must annually report to the division the number and names of people in the home, including shared living participants.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>; 49 SDR 48, effective November 22,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27B-2-26(2)(9)(10)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27B-2-26(2)(9)(10).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Biennial review for compliance with rules,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46:11:02:09.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2022-11-22T21:00:26Z</dcterms:created>
  <cp:lastModifiedBy>Kelly Thompson</cp:lastModifiedBy>
  <dcterms:modified xsi:type="dcterms:W3CDTF">2022-12-08T15:58:56Z</dcterms:modified>
  <cp:revision>6</cp:revision>
</cp:coreProperties>
</file>