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Critical incident reports.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shared living provider</w:t>
      </w:r>
      <w:r>
        <w:rPr>
          <w:rFonts w:ascii="Times New Roman" w:hAnsi="Times New Roman"/>
          <w:sz w:val="24"/>
        </w:rPr>
        <w:t xml:space="preserve"> and the provider are required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report </w:t>
      </w:r>
      <w:r>
        <w:rPr>
          <w:rFonts w:ascii="Times New Roman" w:hAnsi="Times New Roman"/>
          <w:sz w:val="24"/>
          <w:lang w:val="en-US" w:bidi="en-US" w:eastAsia="en-US"/>
        </w:rPr>
        <w:t>critical in</w:t>
      </w:r>
      <w:r>
        <w:rPr>
          <w:rFonts w:ascii="Times New Roman" w:hAnsi="Times New Roman"/>
          <w:sz w:val="24"/>
          <w:lang w:val="en-US" w:bidi="en-US" w:eastAsia="en-US"/>
        </w:rPr>
        <w:t xml:space="preserve">cidents </w:t>
      </w:r>
      <w:r>
        <w:rPr>
          <w:rFonts w:ascii="Times New Roman" w:hAnsi="Times New Roman"/>
          <w:sz w:val="24"/>
        </w:rPr>
        <w:t>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46:11:03</w:t>
      </w:r>
      <w:r>
        <w:rPr>
          <w:rFonts w:ascii="Times New Roman" w:hAnsi="Times New Roman"/>
          <w:sz w:val="24"/>
          <w:lang w:val="en-US" w:bidi="en-US" w:eastAsia="en-US"/>
        </w:rPr>
        <w:t>:</w:t>
      </w:r>
      <w:r>
        <w:rPr>
          <w:rFonts w:ascii="Times New Roman" w:hAnsi="Times New Roman"/>
          <w:sz w:val="24"/>
        </w:rPr>
        <w:t>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>; 49 SDR 48, effective November 22,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27B-2-26(2)(4)(9)(10).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27B-2-26(9)(10).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2022-11-22T21:11:51Z</dcterms:created>
  <cp:lastModifiedBy>Kelly Thompson</cp:lastModifiedBy>
  <dcterms:modified xsi:type="dcterms:W3CDTF">2022-11-22T21:12:42Z</dcterms:modified>
  <cp:revision>2</cp:revision>
</cp:coreProperties>
</file>