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0160DC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Screening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Each provider must have a policy that addresses criminal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background checks, felony convictions, sex offender registry check, and drug screenings for any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independent contractors that provide shared living to participants. The policy must include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</w:rPr>
        <w:t>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description of the system used for background checks, and sex offender registry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checks;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description of felony conviction checks for independent contractors utilizing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Office of Inspector General;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description of any drug screening utilized.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Before a participant is living or receiving respite care in the home, a criminal history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background check and a sex offender registry check shall be completed for individuals 14 years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of age or older who reside in the home. All screening results shall be maintained by the provider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93, effective December 4,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27B-2-26(4)(9).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27B-2-26(4)(9)(10)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