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38C06AB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14</w:t>
      </w:r>
      <w:r>
        <w:rPr>
          <w:rFonts w:ascii="Times New Roman" w:hAnsi="Times New Roman"/>
          <w:b w:val="1"/>
          <w:sz w:val="24"/>
        </w:rPr>
        <w:t>.  Supervision.</w:t>
      </w:r>
      <w:r>
        <w:rPr>
          <w:rFonts w:ascii="Times New Roman" w:hAnsi="Times New Roman"/>
          <w:sz w:val="24"/>
        </w:rPr>
        <w:t xml:space="preserve"> A participant may be left unsupervised for specified periods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 time if the absence of direct supervision is consistent with the participant's assessment, is part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of the participant's ISP, and as an outcome which requires the achievement of a higher level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independence. A participant requiring direct supervision may not be left under the supervision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 person under the age of 18. A participant may not be left unsupervised solely for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convenience of the contractor.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 participant shall receive an assessment and training in accessing the contractor, provider,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or emergency services as determined by the participant's team and shall be documented.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93, effective December 4,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27B-2-26(4)(9)(10).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27B-2-26(9)(10).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