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640E55AF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4</w:t>
      </w:r>
      <w:r>
        <w:rPr>
          <w:rFonts w:ascii="Times New Roman" w:hAnsi="Times New Roman"/>
          <w:b w:val="1"/>
          <w:sz w:val="24"/>
          <w:lang w:val="en-US" w:bidi="en-US" w:eastAsia="en-US"/>
        </w:rPr>
        <w:t>6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04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19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Heat sources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If there are heat sources, such as hot water pipes, fixed space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heaters, hot water heaters, radiators, or wood and coal burning stoves and fireplaces, exceeding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120 degrees Fahrenheit, that are accessible to participants, the provider and contractor shall have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documentation of the participant's understanding of the hazard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44 SDR 93, effective December 4, 2017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</w:rPr>
        <w:t>27B-2-26(2)(4)(5)(9)(10).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</w:rPr>
        <w:t>27B-2-26(9)(10)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