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4EF1B4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.  Smoke and carbon mon</w:t>
      </w:r>
      <w:r>
        <w:rPr>
          <w:rFonts w:ascii="Times New Roman" w:hAnsi="Times New Roman"/>
          <w:b w:val="1"/>
          <w:sz w:val="24"/>
          <w:lang w:val="en-US" w:bidi="en-US" w:eastAsia="en-US"/>
        </w:rPr>
        <w:t>o</w:t>
      </w:r>
      <w:r>
        <w:rPr>
          <w:rFonts w:ascii="Times New Roman" w:hAnsi="Times New Roman"/>
          <w:b w:val="1"/>
          <w:sz w:val="24"/>
        </w:rPr>
        <w:t>xide detectors.</w:t>
      </w:r>
      <w:r>
        <w:rPr>
          <w:rFonts w:ascii="Times New Roman" w:hAnsi="Times New Roman"/>
          <w:sz w:val="24"/>
        </w:rPr>
        <w:t xml:space="preserve"> A home shall have a minimum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one operable automatic smoke detector and carbon monoxide detector provided on each floor,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including the basement and attic. Smoke detectors and carbon monoxide detectors shall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located in common areas or hallways.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93, effective December 4,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27B-2-26(4)(5)(9)(10).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27B-2-26(9)(10).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