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B318BF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Mi</w:t>
      </w:r>
      <w:r>
        <w:rPr>
          <w:rFonts w:ascii="Times New Roman" w:hAnsi="Times New Roman"/>
          <w:b w:val="1"/>
          <w:sz w:val="24"/>
          <w:lang w:val="en-US" w:bidi="en-US" w:eastAsia="en-US"/>
        </w:rPr>
        <w:t>n</w:t>
      </w:r>
      <w:r>
        <w:rPr>
          <w:rFonts w:ascii="Times New Roman" w:hAnsi="Times New Roman"/>
          <w:b w:val="1"/>
          <w:sz w:val="24"/>
        </w:rPr>
        <w:t>imum standards for program approval.</w:t>
      </w:r>
      <w:r>
        <w:rPr>
          <w:rFonts w:ascii="Times New Roman" w:hAnsi="Times New Roman"/>
          <w:sz w:val="24"/>
        </w:rPr>
        <w:t xml:space="preserve"> The following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are the minimum standards for approval of programs leading to an associate of applied science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degree granted by a postsecondary technical institute: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curriculum must be not less than 60 semester credit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curriculum must provide not less than 15 semester credits in general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not less than 50 percent of the credit hours in technical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Associate of applied science degree courses with like competencies must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transferable among the state postsecondary technical institutes;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Articulation must be addressed at secondary, postsecondary, and higher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levels. Articulation is the coordination of adult, vocational, and technical education programs so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that students can progress without duplication of time, effort, or expense.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15 SDR 64, effective November 2, 1988; transferred from § 24:10:38:01, 20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SDR 223, effective July 7, 1994; repealed, SL 1995, ch 86, § 6, effective July 1, 1995;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readopted,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22 SDR 13, effective August 9, 1995; 37 SDR 131, effective January 11, 2011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adopte</w:t>
      </w:r>
      <w:r>
        <w:rPr>
          <w:rFonts w:ascii="Times New Roman" w:hAnsi="Times New Roman"/>
          <w:sz w:val="24"/>
        </w:rPr>
        <w:t>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24:10:43:01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13-39A-16, 13-39A-18, 13-39A-42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