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C51FE41" Type="http://schemas.openxmlformats.org/officeDocument/2006/relationships/officeDocument" Target="/word/document.xml" /><Relationship Id="coreRC51FE4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Application requirements for program approval.</w:t>
      </w:r>
      <w:r>
        <w:rPr>
          <w:rFonts w:ascii="Times New Roman" w:hAnsi="Times New Roman"/>
          <w:sz w:val="24"/>
        </w:rPr>
        <w:t xml:space="preserve">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postsecondary technical institute seeking authority to grant the associate of applied science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degree must apply on forms provided by the executive director of the Board of Technical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Education. The application must include documentation of admission requirements, required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hours, curriculum components, instructor credentials, and graduation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Each associate of applied science degree program must include </w:t>
      </w:r>
      <w:r>
        <w:rPr>
          <w:rFonts w:ascii="Times New Roman" w:hAnsi="Times New Roman"/>
          <w:sz w:val="24"/>
          <w:lang w:val="en-US" w:bidi="en-US" w:eastAsia="en-US"/>
        </w:rPr>
        <w:t>a m</w:t>
      </w:r>
      <w:r>
        <w:rPr>
          <w:rFonts w:ascii="Times New Roman" w:hAnsi="Times New Roman"/>
          <w:sz w:val="24"/>
          <w:lang w:val="en-US" w:bidi="en-US" w:eastAsia="en-US"/>
        </w:rPr>
        <w:t xml:space="preserve">inimum of 15 credit hours of </w:t>
      </w:r>
      <w:r>
        <w:rPr>
          <w:rFonts w:ascii="Times New Roman" w:hAnsi="Times New Roman"/>
          <w:sz w:val="24"/>
        </w:rPr>
        <w:t>general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education courses </w:t>
      </w:r>
      <w:r>
        <w:rPr>
          <w:rFonts w:ascii="Times New Roman" w:hAnsi="Times New Roman"/>
          <w:sz w:val="24"/>
          <w:lang w:val="en-US" w:bidi="en-US" w:eastAsia="en-US"/>
        </w:rPr>
        <w:t>from a minimum of four of the following categories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Communications;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Social sciences;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Mathematics;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Computer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Arts and humanities;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Natural sciences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64, effective November 2, 1988; transferred from § 24:10:38:03, 20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SDR 223, effective July 7, 1994; repealed, SL 1995, ch 86, § 6, effective July 1, 1995;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readopted, 22 SDR 13, effective August 9, 1995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24:10:43:03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  <w:lang w:val="en-US" w:bidi="en-US" w:eastAsia="en-US"/>
        </w:rPr>
        <w:t>; 45 SDR 130, effective April 29,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13-39A-16, 13-39A-18, 13-39A-42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2019-04-25T17:59:24Z</dcterms:created>
  <cp:lastModifiedBy>Rhonda Purkapile</cp:lastModifiedBy>
  <dcterms:modified xsi:type="dcterms:W3CDTF">2019-04-25T18:03:45Z</dcterms:modified>
  <cp:revision>2</cp:revision>
</cp:coreProperties>
</file>