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4E4B99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Valid dates of credential.</w:t>
      </w:r>
      <w:r>
        <w:rPr>
          <w:rFonts w:ascii="Times New Roman" w:hAnsi="Times New Roman"/>
          <w:sz w:val="24"/>
        </w:rPr>
        <w:t xml:space="preserve"> Effective July 1, 2016,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postsecondary technical institutes shall issue and renew all postsecondary credentials pursuant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policies and processes adopted by the local credentialing committee. A postsecondary credential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issued or renewed by the department pursuant to an application submitted prior to July 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, 2016,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be recognized by the postsecondary technical institute for the period of validity and for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subject or areas which the applicant is qualified to instruct, as noted on the certificate. Nothing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this section limits the ability of the postsecondary technical institute to terminate the employment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an instructor or to revoke, suspend, or refuse to issue a credential to an instructor based on 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independent review of the character and fitness of the instructor.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24 SDR 16, effective August 10, 1997; 43 SDR 9, effective August 4, 2016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24:10:45:13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13-1-12.1, </w:t>
      </w:r>
      <w:r>
        <w:rPr>
          <w:rFonts w:ascii="Times New Roman" w:hAnsi="Times New Roman"/>
          <w:sz w:val="24"/>
          <w:lang w:val="en-US" w:bidi="en-US" w:eastAsia="en-US"/>
        </w:rPr>
        <w:t>13-39A-18,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13-39A-18, 13-42-1 to 13-42-4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