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35262617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59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05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Maturity term of bonds issued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When considering approval of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new bonds for lease purchase agreement, the Board of Technical Education may set a target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maturity term </w:t>
      </w:r>
      <w:r>
        <w:rPr>
          <w:rFonts w:ascii="Times New Roman" w:hAnsi="Times New Roman"/>
          <w:sz w:val="24"/>
        </w:rPr>
        <w:t xml:space="preserve">of thirty </w:t>
      </w:r>
      <w:r>
        <w:rPr>
          <w:rFonts w:ascii="Times New Roman" w:hAnsi="Times New Roman"/>
          <w:sz w:val="24"/>
        </w:rPr>
        <w:t xml:space="preserve">years. </w:t>
      </w:r>
      <w:r>
        <w:rPr>
          <w:rFonts w:ascii="Times New Roman" w:hAnsi="Times New Roman"/>
          <w:sz w:val="24"/>
        </w:rPr>
        <w:t>The amortization cannot exceed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one hundred and twenty percent (120%) of the weighted average useful life of the asset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40 SDR 40, effective September 11, 2013</w:t>
      </w:r>
      <w:r>
        <w:rPr>
          <w:rFonts w:ascii="Times New Roman" w:hAnsi="Times New Roman"/>
          <w:sz w:val="24"/>
          <w:lang w:val="en-US" w:bidi="en-US" w:eastAsia="en-US"/>
        </w:rPr>
        <w:t>;</w:t>
      </w:r>
      <w:r>
        <w:rPr>
          <w:rFonts w:ascii="Times New Roman" w:hAnsi="Times New Roman"/>
          <w:sz w:val="24"/>
        </w:rPr>
        <w:t xml:space="preserve"> Re</w:t>
      </w:r>
      <w:r>
        <w:rPr>
          <w:rFonts w:ascii="Times New Roman" w:hAnsi="Times New Roman"/>
          <w:sz w:val="24"/>
          <w:lang w:val="en-US" w:bidi="en-US" w:eastAsia="en-US"/>
        </w:rPr>
        <w:t>adopt</w:t>
      </w:r>
      <w:r>
        <w:rPr>
          <w:rFonts w:ascii="Times New Roman" w:hAnsi="Times New Roman"/>
          <w:sz w:val="24"/>
        </w:rPr>
        <w:t xml:space="preserve">ed from </w:t>
      </w:r>
      <w:r>
        <w:rPr>
          <w:rFonts w:ascii="Times New Roman" w:hAnsi="Times New Roman"/>
          <w:sz w:val="24"/>
        </w:rPr>
        <w:t>§</w:t>
      </w: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</w:rPr>
        <w:t>24:10:46:05</w:t>
      </w:r>
      <w:r>
        <w:rPr>
          <w:rFonts w:ascii="Times New Roman" w:hAnsi="Times New Roman"/>
          <w:sz w:val="24"/>
          <w:lang w:val="en-US" w:bidi="en-US" w:eastAsia="en-US"/>
        </w:rPr>
        <w:t>, 44 SDR 184, effective June 25, 201</w:t>
      </w:r>
      <w:r>
        <w:rPr>
          <w:rFonts w:ascii="Times New Roman" w:hAnsi="Times New Roman"/>
          <w:sz w:val="24"/>
          <w:lang w:val="en-US" w:bidi="en-US" w:eastAsia="en-US"/>
        </w:rPr>
        <w:t>8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</w:t>
      </w:r>
      <w:r>
        <w:rPr>
          <w:rFonts w:ascii="Times New Roman" w:hAnsi="Times New Roman"/>
          <w:sz w:val="24"/>
          <w:lang w:val="en-US" w:bidi="en-US" w:eastAsia="en-US"/>
        </w:rPr>
        <w:t xml:space="preserve"> 1-16A-94,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13-39A-24.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1-16A-39, 1-16A-43, 1-16A-93, 13-39A-24, 13-39A-25, 13-39A-26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