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Allocation of funds. </w:t>
      </w:r>
      <w:r>
        <w:rPr>
          <w:rFonts w:ascii="Times New Roman" w:hAnsi="Times New Roman"/>
          <w:b w:val="0"/>
          <w:sz w:val="24"/>
          <w:lang w:val="en-US" w:bidi="en-US" w:eastAsia="en-US"/>
        </w:rPr>
        <w:t>The executive director shall distribute salary support funds to the postsecondary technical colleges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lang w:val="en-US" w:bidi="en-US" w:eastAsia="en-US"/>
        </w:rPr>
      </w:pPr>
      <w:r>
        <w:rPr>
          <w:rFonts w:ascii="Times New Roman" w:hAnsi="Times New Roman"/>
          <w:b w:val="0"/>
          <w:sz w:val="24"/>
          <w:lang w:val="en-US" w:bidi="en-US" w:eastAsia="en-US"/>
        </w:rPr>
        <w:tab/>
        <w:t>(1)  Twenty-five percent of the total salary support fund allocation must be distributed equally among the four colleges as a baseline for technical college instructor salaries and benefits;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lang w:val="en-US" w:bidi="en-US" w:eastAsia="en-US"/>
        </w:rPr>
      </w:pPr>
      <w:r>
        <w:rPr>
          <w:rFonts w:ascii="Times New Roman" w:hAnsi="Times New Roman"/>
          <w:b w:val="0"/>
          <w:sz w:val="24"/>
          <w:lang w:val="en-US" w:bidi="en-US" w:eastAsia="en-US"/>
        </w:rPr>
        <w:tab/>
        <w:t>(2)  Seventy-five percent of the total salary support fund allocation must be distributed within three program categories: high cost-low density programs, high cost programs, and standard cost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  <w:lang w:val="en-US" w:bidi="en-US" w:eastAsia="en-US"/>
        </w:rPr>
        <w:tab/>
        <w:t>For purposes of the distribution under this section, the executive director shall follow the same full-time equivalent student calculations, program weight factor classifications, and weighted per student values as set forth in § 24:59:02:03. The executive director shall distribute funds by determining each program's full-time equivalent students, multiplied by the weighted program factor, multiplied by the weighted per student value.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9, 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24:10:49:04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2018; 48 SDR 61, effective December 9, 2021; 48 SDR 61, effective July 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13-39A-14, 13-39A-18, 13-39A-21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2021-12-07T15:02:37Z</dcterms:created>
  <cp:lastModifiedBy>Kelly Thompson</cp:lastModifiedBy>
  <dcterms:modified xsi:type="dcterms:W3CDTF">2022-06-30T14:13:41Z</dcterms:modified>
  <cp:revision>6</cp:revision>
</cp:coreProperties>
</file>