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b w:val="0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59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05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  <w:lang w:val="en-US" w:bidi="en-US" w:eastAsia="en-US"/>
        </w:rPr>
        <w:t xml:space="preserve"> Instructor salary adjustments. </w:t>
      </w:r>
      <w:r>
        <w:rPr>
          <w:rFonts w:ascii="Times New Roman" w:hAnsi="Times New Roman"/>
          <w:b w:val="0"/>
          <w:sz w:val="24"/>
          <w:lang w:val="en-US" w:bidi="en-US" w:eastAsia="en-US"/>
        </w:rPr>
        <w:t>From the salary support funds distributed to each postsecondary technical college, each technical college president shall determine compensation for individual instructors. A technical college president may increase salaries to levels competitive with applicable industry practitioners after considering instructor qualifications, performance, and wage data provided under § 24:59:05:02.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43 SDR 9, effective August 4, 2016; 43 SDR 176, effective July 3, 2017</w:t>
      </w:r>
      <w:r>
        <w:rPr>
          <w:rFonts w:ascii="Times New Roman" w:hAnsi="Times New Roman"/>
          <w:sz w:val="24"/>
          <w:lang w:val="en-US" w:bidi="en-US" w:eastAsia="en-US"/>
        </w:rPr>
        <w:t xml:space="preserve">; </w:t>
      </w:r>
      <w:r>
        <w:rPr>
          <w:rFonts w:ascii="Times New Roman" w:hAnsi="Times New Roman"/>
          <w:sz w:val="24"/>
        </w:rPr>
        <w:t>Re</w:t>
      </w:r>
      <w:r>
        <w:rPr>
          <w:rFonts w:ascii="Times New Roman" w:hAnsi="Times New Roman"/>
          <w:sz w:val="24"/>
          <w:lang w:val="en-US" w:bidi="en-US" w:eastAsia="en-US"/>
        </w:rPr>
        <w:t>adopt</w:t>
      </w:r>
      <w:r>
        <w:rPr>
          <w:rFonts w:ascii="Times New Roman" w:hAnsi="Times New Roman"/>
          <w:sz w:val="24"/>
        </w:rPr>
        <w:t>ed from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24:10:49:06</w:t>
      </w:r>
      <w:r>
        <w:rPr>
          <w:rFonts w:ascii="Times New Roman" w:hAnsi="Times New Roman"/>
          <w:sz w:val="24"/>
          <w:lang w:val="en-US" w:bidi="en-US" w:eastAsia="en-US"/>
        </w:rPr>
        <w:t>, 44 SDR 184, effective June 25, 2018; 48 SDR 61, effective December 9, 2021; 48 SDR 61, effective July 1, 2022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13-39A-18.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13-39A-14, 13-39A-18, 13-39A-21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2021-12-07T15:51:58Z</dcterms:created>
  <cp:lastModifiedBy>Kelly Thompson</cp:lastModifiedBy>
  <dcterms:modified xsi:type="dcterms:W3CDTF">2022-06-30T14:14:10Z</dcterms:modified>
  <cp:revision>7</cp:revision>
</cp:coreProperties>
</file>