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6437E5FC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59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Definitions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Unless otherwise defined in this section, terms defined in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SDCL 13-39-1.2 have the same meaning when used in this article. Other terms used in this article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mean: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"Approved secondary career and technical education program," "secondary CTE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program," an approved career cluster program of study in a secondary school approved by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department and taught by a certified teacher or instructor;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"Approved teacher education program," a program approved pursuant to subdivision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24:02:03:01(2) through August 31, 2000, and beginning on September 1, 2000, pursuant to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subdivision 24:15:01:01(5);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"Capstone experience," a culminating high school experience designed to integrate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knowledge, skills, and concepts gained from a student's program of study. Capstone experiences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include: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(a)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Senior experience that requires students to complete a research project, design and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develop a product, assemble a portfolio, and complete an oral presentation before a panel;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(b)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Entrepreneurship experience that requires students to research a new business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opportunity, develop a business plan, assemble a portfolio, and complete an oral presentation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before a panel;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sz w:val="24"/>
        </w:rPr>
        <w:t>c)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Youth internship that allows students to gain hands-on experience at a business,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develop employability skills, learn technical skills, and complete a portfolio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"Career and technical student organization," "CTSO," a youth organization tied to career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or technical education courses and operated in conjunction with an approved secondary CTE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program, focusing on extending a student's learning experiences from the classroom to develop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the student's leadership and work-readiness skills, assist the student to serve the student's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community, and deepen the student's understanding of careers;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(5)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"Career, high demand," occupations in South Dakota for which occupational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employment projections by DLR demonstrate an average annual demand for workers which is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higher than the average annual demand across all occupations included in the projections data;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(6)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"Career, high skill," occupations in South Dakota which: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(a)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Prefer a minimum education of a postsecondary non-degree award;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(b)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Prefer an apprenticeship, internship, or long term on the job training; or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sz w:val="24"/>
        </w:rPr>
        <w:t>c)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Prefer work experience of more than five years;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(7)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"Career, high wage," occupations in South Dakota in which statewide occupational wage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estimates by DLR demonstrate an average wage which is greater than the average wage across all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occupations included in the wage estimates data;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(8)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"Career pathway," a coherent, articulated sequence of rigorous academic, career and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technical education courses developed, implemented, and maintained in partnership among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secondary and postsecondary education, business, and employers. A career pathway commences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in the ninth grade and leads to an associate, baccalaureate, or other degree, an industry recognized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certificate, or a license;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(9)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"Credit, concurrent," postsecondary education courses for which a student receives both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secondary and postsecondary credit, taught at a high school by a teacher who has been approved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by a public postsecondary technical institute or university;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(10)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"Credit, dual," postsecondary education courses for which a student receives both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secondary and postsecondary credit, taught through a public postsecondary technical institute or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university, either online or in-person;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(11)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"CTE," career and technical education as defined by SDCL 13-39-1.2;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(12)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"DLR," the Department of Labor and Regulation;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(13)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"Health occupation," a program that prepares individuals to enter, advance, or retrain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for employment consistent with industry and labor market needs in the health field;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(14)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"Postsecondary education," training after secondary school with the goal of a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credential, license, diploma, or degree;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(15)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"Program of study," a comprehensive, structured approach for delivering academic and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career and technical education to prepare students for postsecondary education and career success;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(16)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"Secondary," a public secondary school as defined by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subdivision</w:t>
      </w:r>
      <w:r>
        <w:rPr>
          <w:rFonts w:ascii="Times New Roman" w:hAnsi="Times New Roman"/>
          <w:sz w:val="24"/>
        </w:rPr>
        <w:t xml:space="preserve"> 24:43:01</w:t>
      </w:r>
      <w:r>
        <w:rPr>
          <w:rFonts w:ascii="Times New Roman" w:hAnsi="Times New Roman"/>
          <w:sz w:val="24"/>
        </w:rPr>
        <w:t>:01(41) and (42);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(17)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"Service learning," meaningful and relevant activity that addresses needs important to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the community being served, in which students explore the context of societal issues relevant to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the service;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(18)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"Technical specialty," an area of expertise determined by the occupational work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experience of the individual;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(19)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"Work-based learning," credit and noncredit bearing experiences focused on career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exploration and development which help a student build employment-related competencies in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workplace, including capstone expe</w:t>
      </w:r>
      <w:r>
        <w:rPr>
          <w:rFonts w:ascii="Times New Roman" w:hAnsi="Times New Roman"/>
          <w:sz w:val="24"/>
          <w:lang w:val="en-US" w:bidi="en-US" w:eastAsia="en-US"/>
        </w:rPr>
        <w:t>ri</w:t>
      </w:r>
      <w:r>
        <w:rPr>
          <w:rFonts w:ascii="Times New Roman" w:hAnsi="Times New Roman"/>
          <w:sz w:val="24"/>
        </w:rPr>
        <w:t>ences, service learning projects, work placements, job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shadow experiences, and workplace mentoring;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(20)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"Work experience," full-time employment in a career and technical area;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(21)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"Workforce education grants," grants from the workforce education fund established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by SDCL 13-13-88;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(22)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"Work-readiness skills," skills that indicate an individual possesses at least minimal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qualifications, including intellectual and behavioral skills for a specific occupation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44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184</w:t>
      </w:r>
      <w:r>
        <w:rPr>
          <w:rFonts w:ascii="Times New Roman" w:hAnsi="Times New Roman"/>
          <w:sz w:val="24"/>
        </w:rPr>
        <w:t xml:space="preserve">, effective </w:t>
      </w:r>
      <w:r>
        <w:rPr>
          <w:rFonts w:ascii="Times New Roman" w:hAnsi="Times New Roman"/>
          <w:sz w:val="24"/>
          <w:lang w:val="en-US" w:bidi="en-US" w:eastAsia="en-US"/>
        </w:rPr>
        <w:t>June 25, 2018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13-39A-18.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13-39A-18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