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Dry needling course of study.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State Board of Physical Therapy</w:t>
      </w:r>
      <w:r>
        <w:rPr>
          <w:rFonts w:ascii="Times New Roman" w:hAnsi="Times New Roman"/>
          <w:sz w:val="24"/>
        </w:rPr>
        <w:t xml:space="preserve"> may approve a course of study in dry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needling that meets the following criteria: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course of study </w:t>
      </w:r>
      <w:r>
        <w:rPr>
          <w:rFonts w:ascii="Times New Roman" w:hAnsi="Times New Roman"/>
          <w:sz w:val="24"/>
          <w:lang w:val="en-US" w:bidi="en-US" w:eastAsia="en-US"/>
        </w:rPr>
        <w:t>covers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Surface anatomy as it relates to underlying tissues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organs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other structures,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including variations in form, proportion, and anatomical landmarks;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mergency preparedness and response procedures related to secondary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physiological effects or complications with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mergency preparedness and response procedures related to secondary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emotional effects or complications associated with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Standards for dry needle handling;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(e)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Factors influencing safety and injury prevention;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(f)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Personal protection procedures and techniques as related to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(g)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</w:t>
      </w:r>
      <w:r>
        <w:rPr>
          <w:rFonts w:ascii="Times New Roman" w:hAnsi="Times New Roman"/>
          <w:sz w:val="24"/>
          <w:lang w:val="en-US" w:bidi="en-US" w:eastAsia="en-US"/>
        </w:rPr>
        <w:t>he t</w:t>
      </w:r>
      <w:r>
        <w:rPr>
          <w:rFonts w:ascii="Times New Roman" w:hAnsi="Times New Roman"/>
          <w:sz w:val="24"/>
        </w:rPr>
        <w:t>heoretical basis for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(h)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</w:t>
      </w:r>
      <w:r>
        <w:rPr>
          <w:rFonts w:ascii="Times New Roman" w:hAnsi="Times New Roman"/>
          <w:sz w:val="24"/>
          <w:lang w:val="en-US" w:bidi="en-US" w:eastAsia="en-US"/>
        </w:rPr>
        <w:t>he t</w:t>
      </w:r>
      <w:r>
        <w:rPr>
          <w:rFonts w:ascii="Times New Roman" w:hAnsi="Times New Roman"/>
          <w:sz w:val="24"/>
        </w:rPr>
        <w:t>heoretical basis for combining dry needling with other interventions;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(i)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Secondary effects or complications associated with dry needling on other systems</w:t>
      </w:r>
      <w:r>
        <w:rPr>
          <w:rFonts w:ascii="Times New Roman" w:hAnsi="Times New Roman"/>
          <w:sz w:val="24"/>
          <w:lang w:val="en-US" w:bidi="en-US" w:eastAsia="en-US"/>
        </w:rPr>
        <w:t xml:space="preserve"> of the human body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(j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</w:t>
      </w:r>
      <w:r>
        <w:rPr>
          <w:rFonts w:ascii="Times New Roman" w:hAnsi="Times New Roman"/>
          <w:sz w:val="24"/>
          <w:lang w:val="en-US" w:bidi="en-US" w:eastAsia="en-US"/>
        </w:rPr>
        <w:t>he t</w:t>
      </w:r>
      <w:r>
        <w:rPr>
          <w:rFonts w:ascii="Times New Roman" w:hAnsi="Times New Roman"/>
          <w:sz w:val="24"/>
        </w:rPr>
        <w:t>heoretical basis of pain sciences, including anatomy, physiology,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pathophysiology, and relation to body structures and function;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(k)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Indications, contraindications, and precautions related to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l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Palpation techniques as related to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(m)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Needle insertion techniques;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(n)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Needle manipulation techniques;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(o)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Physiological responses to dry needling;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(p)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Solid filament needles;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majority of the course of study </w:t>
      </w:r>
      <w:r>
        <w:rPr>
          <w:rFonts w:ascii="Times New Roman" w:hAnsi="Times New Roman"/>
          <w:sz w:val="24"/>
          <w:lang w:val="en-US" w:bidi="en-US" w:eastAsia="en-US"/>
        </w:rPr>
        <w:t>is</w:t>
      </w:r>
      <w:r>
        <w:rPr>
          <w:rFonts w:ascii="Times New Roman" w:hAnsi="Times New Roman"/>
          <w:sz w:val="24"/>
        </w:rPr>
        <w:t xml:space="preserve"> in-person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The course is evaluated through a practical, hands-on evaluation and a written e</w:t>
      </w:r>
      <w:r>
        <w:rPr>
          <w:rFonts w:ascii="Times New Roman" w:hAnsi="Times New Roman"/>
          <w:sz w:val="24"/>
          <w:lang w:val="en-US" w:bidi="en-US" w:eastAsia="en-US"/>
        </w:rPr>
        <w:t>xamination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 physical therapist may only perform dry needling on the parts of the body </w:t>
      </w:r>
      <w:r>
        <w:rPr>
          <w:rFonts w:ascii="Times New Roman" w:hAnsi="Times New Roman"/>
          <w:sz w:val="24"/>
          <w:lang w:val="en-US" w:bidi="en-US" w:eastAsia="en-US"/>
        </w:rPr>
        <w:t>addressed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 the course of study.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45 SDR 9, effective August 1, 2018</w:t>
      </w:r>
      <w:r>
        <w:rPr>
          <w:rFonts w:ascii="Times New Roman" w:hAnsi="Times New Roman"/>
          <w:sz w:val="24"/>
          <w:lang w:val="en-US" w:bidi="en-US" w:eastAsia="en-US"/>
        </w:rPr>
        <w:t>; 50 SDR 66, effective December 3,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36-10-52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36-10-52.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2018-09-04T13:23:58Z</dcterms:created>
  <cp:lastModifiedBy>Kelly Thompson</cp:lastModifiedBy>
  <dcterms:modified xsi:type="dcterms:W3CDTF">2023-11-28T21:11:56Z</dcterms:modified>
  <cp:revision>6</cp:revision>
</cp:coreProperties>
</file>