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1A84039" Type="http://schemas.openxmlformats.org/officeDocument/2006/relationships/officeDocument" Target="/word/document.xml" /><Relationship Id="coreR21A8403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</w:t>
      </w:r>
      <w:r>
        <w:rPr>
          <w:rFonts w:ascii="Times New Roman" w:hAnsi="Times New Roman"/>
          <w:b w:val="1"/>
          <w:sz w:val="24"/>
          <w:lang w:val="en-US" w:bidi="en-US" w:eastAsia="en-US"/>
        </w:rPr>
        <w:t>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32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Response to petition for declaratory ruling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Upon receipt of a petition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declaratory ruling the department may request further information from the petitioner in order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assist the department in making its determination. Within 90 days following the receipt of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petition, or within 90 days following the receipt of the additional requested information,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department shall issue its declaratory ruling and provide a copy to the petitioner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45 SDR 31, effective September 10,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1-26-15.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1-26-15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2018-08-29T19:50:00Z</dcterms:modified>
  <cp:revision>6</cp:revision>
</cp:coreProperties>
</file>