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5F5E6785" Type="http://schemas.openxmlformats.org/officeDocument/2006/relationships/officeDocument" Target="/word/document.xml" /><Relationship Id="coreR5F5E6785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77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06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Change of ownership -- new application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If a registered appraisal m</w:t>
      </w:r>
      <w:r>
        <w:rPr>
          <w:rFonts w:ascii="Times New Roman" w:hAnsi="Times New Roman"/>
          <w:sz w:val="24"/>
          <w:lang w:val="en-US" w:bidi="en-US" w:eastAsia="en-US"/>
        </w:rPr>
        <w:t>a</w:t>
      </w:r>
      <w:r>
        <w:rPr>
          <w:rFonts w:ascii="Times New Roman" w:hAnsi="Times New Roman"/>
          <w:sz w:val="24"/>
        </w:rPr>
        <w:t>nagement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company has a change of ownership that results in a new owner that holds 10% or greater interest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or a change in ownership that increases an existing individual's total ownership to 10% or greater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interest, it shall apply in writing for a certificate of registration as a new appraisal management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company under this article and shall complete an irrevocable Uniform Consent to Service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Process on a form approved by the secretary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45 SDR 45, effective October 8, 2018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36-21D-4(1)(4)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36-21D-1, 36-21D-4(1)(4)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2018-09-27T18:30:23Z</dcterms:modified>
  <cp:revision>6</cp:revision>
</cp:coreProperties>
</file>