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27E411" Type="http://schemas.openxmlformats.org/officeDocument/2006/relationships/officeDocument" Target="/word/document.xml" /><Relationship Id="coreR5027E41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1</w:t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Regulated articles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following articles that originate within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quarantine area are considered regulated articles: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The emerald ash borer, </w:t>
      </w:r>
      <w:r>
        <w:rPr>
          <w:rFonts w:ascii="Times New Roman" w:hAnsi="Times New Roman"/>
          <w:i w:val="1"/>
          <w:sz w:val="24"/>
        </w:rPr>
        <w:t>Agrilus planipennis</w:t>
      </w:r>
      <w:r>
        <w:rPr>
          <w:rFonts w:ascii="Times New Roman" w:hAnsi="Times New Roman"/>
          <w:sz w:val="24"/>
        </w:rPr>
        <w:t xml:space="preserve"> (Fairmaire), in any living stage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development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Entire ash trees (</w:t>
      </w:r>
      <w:r>
        <w:rPr>
          <w:rFonts w:ascii="Times New Roman" w:hAnsi="Times New Roman"/>
          <w:i w:val="1"/>
          <w:sz w:val="24"/>
        </w:rPr>
        <w:t>Fraxinus spp.</w:t>
      </w:r>
      <w:r>
        <w:rPr>
          <w:rFonts w:ascii="Times New Roman" w:hAnsi="Times New Roman"/>
          <w:sz w:val="24"/>
        </w:rPr>
        <w:t>), and nursery stock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Ash logs or untreated ash lumber with any bark or the outer one half inch of wood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attached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Non-coniferous, or hardwood, wood chips and non-coniferous, or hardwood, bark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chips larger than one inch diameter in two dimensions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Other ash material (</w:t>
      </w:r>
      <w:r>
        <w:rPr>
          <w:rFonts w:ascii="Times New Roman" w:hAnsi="Times New Roman"/>
          <w:i w:val="1"/>
          <w:sz w:val="24"/>
        </w:rPr>
        <w:t>Fraxinus spp.</w:t>
      </w:r>
      <w:r>
        <w:rPr>
          <w:rFonts w:ascii="Times New Roman" w:hAnsi="Times New Roman"/>
          <w:sz w:val="24"/>
        </w:rPr>
        <w:t>), living or dead, cut or fallen, including logs, limbs,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branches, stumps, or roots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(6)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Firewood of any non-coniferous, or hardwood, species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(7)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Any other article, product, or means of conveyance, when it is determined by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secretary to present a risk of spreading the emerald ash borer. Other items identified as regulated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articles in this manner will be communicated through publication of a notice in public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newspapers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45 SDR 84, effective December 19,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</w:t>
      </w:r>
      <w:r>
        <w:rPr>
          <w:rFonts w:ascii="Times New Roman" w:hAnsi="Times New Roman"/>
          <w:sz w:val="24"/>
          <w:lang w:val="en-US" w:bidi="en-US" w:eastAsia="en-US"/>
        </w:rPr>
        <w:t>8-24A-9.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38-24A-6, 38-24A-</w:t>
      </w:r>
      <w:r>
        <w:rPr>
          <w:rFonts w:ascii="Times New Roman" w:hAnsi="Times New Roman"/>
          <w:sz w:val="24"/>
          <w:lang w:val="en-US" w:bidi="en-US" w:eastAsia="en-US"/>
        </w:rPr>
        <w:t>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2018-12-14T15:02:21Z</dcterms:modified>
  <cp:revision>7</cp:revision>
</cp:coreProperties>
</file>