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4ACEDB3" Type="http://schemas.openxmlformats.org/officeDocument/2006/relationships/officeDocument" Target="/word/document.xml" /><Relationship Id="coreR74ACEDB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Interest rate and repayment schedule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commission shall set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interest rate and the repayment schedule for each loan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128, effective April 22,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2019-04-17T20:52:07Z</dcterms:modified>
  <cp:revision>7</cp:revision>
</cp:coreProperties>
</file>