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08EAB23" Type="http://schemas.openxmlformats.org/officeDocument/2006/relationships/officeDocument" Target="/word/document.xml" /><Relationship Id="coreR708EAB23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7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10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Compliance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department shall monitor compliance with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terms and conditions of the loan agreement and shall disburse loan funds in accordance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with the agreement. The department shall perform other tasks necessary to expedite and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assist the commission in the administration of each loan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45 SDR 128, effective April 22,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31-5-8.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31-5-8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Rhonda Purkapile</cp:lastModifiedBy>
  <dcterms:modified xsi:type="dcterms:W3CDTF">2019-04-17T21:01:41Z</dcterms:modified>
  <cp:revision>6</cp:revision>
</cp:coreProperties>
</file>