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0E80E8D" Type="http://schemas.openxmlformats.org/officeDocument/2006/relationships/officeDocument" Target="/word/document.xml" /><Relationship Id="coreR50E80E8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08.01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Multiple employer trust minimum loss ratio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multiple employer trust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that does not utilize community rating for its membership must maintain a minimum loss ratio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(MLR) of eighty-five percent. MLR shall be calculated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(Claims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+ Claims Adjustment Expenses)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/ (Contributions - Applicable Taxes &amp; Fees)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45 SDR 158, effective June 27,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58-18-79, 58-18-89.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58-18-3, 58-18-6, 58-18-88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2019-06-18T20:15:33Z</dcterms:modified>
  <cp:revision>7</cp:revision>
</cp:coreProperties>
</file>