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1E3C28" Type="http://schemas.openxmlformats.org/officeDocument/2006/relationships/officeDocument" Target="/word/document.xml" /><Relationship Id="coreR11E3C2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State matching fund disbursements to grantees.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State matching grants shall be disbursed after a grant agreement has been executed and funding requests have been approved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155, effective April 11, 1993</w:t>
      </w:r>
      <w:r>
        <w:rPr>
          <w:rFonts w:ascii="Times New Roman" w:hAnsi="Times New Roman"/>
          <w:sz w:val="24"/>
          <w:lang w:val="en-US" w:bidi="en-US" w:eastAsia="en-US"/>
        </w:rPr>
        <w:t>; 45 SDR 158, effective July 1, 2019</w:t>
      </w:r>
      <w:r>
        <w:rPr>
          <w:rFonts w:ascii="Times New Roman" w:hAnsi="Times New Roman"/>
          <w:sz w:val="24"/>
          <w:lang w:val="en-US" w:bidi="en-US" w:eastAsia="en-US"/>
        </w:rPr>
        <w:t xml:space="preserve"> (Renumbered from 70:06:02:03)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1-44-7.3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2019-06-19T15:34:02Z</dcterms:modified>
  <cp:revision>8</cp:revision>
</cp:coreProperties>
</file>