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6C128E0" Type="http://schemas.openxmlformats.org/officeDocument/2006/relationships/officeDocument" Target="/word/document.xml" /><Relationship Id="coreR36C128E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Content knowledge for educa</w:t>
      </w:r>
      <w:r>
        <w:rPr>
          <w:rFonts w:ascii="Times New Roman" w:hAnsi="Times New Roman"/>
          <w:b w:val="1"/>
          <w:sz w:val="24"/>
        </w:rPr>
        <w:t>t</w:t>
      </w:r>
      <w:r>
        <w:rPr>
          <w:rFonts w:ascii="Times New Roman" w:hAnsi="Times New Roman"/>
          <w:b w:val="1"/>
          <w:sz w:val="24"/>
          <w:lang w:val="en-US" w:bidi="en-US" w:eastAsia="en-US"/>
        </w:rPr>
        <w:t>i</w:t>
      </w:r>
      <w:r>
        <w:rPr>
          <w:rFonts w:ascii="Times New Roman" w:hAnsi="Times New Roman"/>
          <w:b w:val="1"/>
          <w:sz w:val="24"/>
        </w:rPr>
        <w:t>on specialist candidates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specialist candidate must know the candidate's field and must be able to explain principles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concepts delineated in professional, state, and institutional standards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16, effective August 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13-42-3, 13-42-4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2019-07-30T14:52:20Z</dcterms:modified>
  <cp:revision>6</cp:revision>
</cp:coreProperties>
</file>