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D68C96C" Type="http://schemas.openxmlformats.org/officeDocument/2006/relationships/officeDocument" Target="/word/document.xml" /><Relationship Id="coreR5D68C96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.  Waiver of exam for reciprocity applicants.</w:t>
      </w:r>
      <w:r>
        <w:rPr>
          <w:rFonts w:ascii="Times New Roman" w:hAnsi="Times New Roman"/>
          <w:sz w:val="24"/>
        </w:rPr>
        <w:t xml:space="preserve"> The examination requirement under SDCL 36-15-19.1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36-15-19.3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36-15-19.5 is waived for an applicant who has successfully passed a state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administered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or authorized theory </w:t>
      </w:r>
      <w:r>
        <w:rPr>
          <w:rFonts w:ascii="Times New Roman" w:hAnsi="Times New Roman"/>
          <w:sz w:val="24"/>
        </w:rPr>
        <w:t>examination in another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46 SDR 46, effective October 3, 2019</w:t>
      </w:r>
      <w:r>
        <w:t>; 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36-15-13(1)(2), 36-15-19.2.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36-15-19.2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2020-07-21T19:06:37Z</dcterms:modified>
  <cp:revision>8</cp:revision>
</cp:coreProperties>
</file>