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63959F9" Type="http://schemas.openxmlformats.org/officeDocument/2006/relationships/officeDocument" Target="/word/document.xml" /><Relationship Id="coreR463959F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Chemical exfoliation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Chemical ex</w:t>
      </w:r>
      <w:r>
        <w:rPr>
          <w:rFonts w:ascii="Times New Roman" w:hAnsi="Times New Roman"/>
          <w:sz w:val="24"/>
        </w:rPr>
        <w:t>foliation in salons or booths must comply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following practices: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Salons or booths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within the scope of their practice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ma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use chemicals or products, natural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>nthetic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which act on or affect the epidermis la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>er of the skin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All exfoliant products or formulations shall be of professional grade and used in accordance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manufacturer's recommendations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An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ex</w:t>
      </w:r>
      <w:r>
        <w:rPr>
          <w:rFonts w:ascii="Times New Roman" w:hAnsi="Times New Roman"/>
          <w:sz w:val="24"/>
        </w:rPr>
        <w:t>foliation preparation used must not remove tissue below the stratum corneum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epidermis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46,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2019-09-30T20:20:17Z</dcterms:modified>
  <cp:revision>7</cp:revision>
</cp:coreProperties>
</file>