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5C6C8FC" Type="http://schemas.openxmlformats.org/officeDocument/2006/relationships/officeDocument" Target="/word/document.xml" /><Relationship Id="coreR55C6C8F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Salon or booth inspections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Salon or booths shall be inspected approximately once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per calendar year and shall be unannounced. Re-inspections and inspections pursuant to consent agreements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do not count towards the annual inspection a</w:t>
      </w:r>
      <w:r>
        <w:rPr>
          <w:rFonts w:ascii="Times New Roman" w:hAnsi="Times New Roman"/>
          <w:sz w:val="24"/>
          <w:lang w:val="en-US" w:bidi="en-US" w:eastAsia="en-US"/>
        </w:rPr>
        <w:t>mo</w:t>
      </w:r>
      <w:r>
        <w:rPr>
          <w:rFonts w:ascii="Times New Roman" w:hAnsi="Times New Roman"/>
          <w:sz w:val="24"/>
        </w:rPr>
        <w:t>unt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46 SDR 46, effective October 3,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36-15-13(15).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36-15-1</w:t>
      </w:r>
      <w:r>
        <w:rPr>
          <w:rFonts w:ascii="Times New Roman" w:hAnsi="Times New Roman"/>
          <w:sz w:val="24"/>
          <w:lang w:val="en-US" w:bidi="en-US" w:eastAsia="en-US"/>
        </w:rPr>
        <w:t>1(1), 36-15-13(15)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2019-10-01T19:09:52Z</dcterms:modified>
  <cp:revision>6</cp:revision>
</cp:coreProperties>
</file>