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EA70530" Type="http://schemas.openxmlformats.org/officeDocument/2006/relationships/officeDocument" Target="/word/document.xml" /><Relationship Id="coreR2EA7053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Required informed consent form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To meet the requirements of </w:t>
      </w:r>
      <w:r>
        <w:rPr>
          <w:rFonts w:ascii="Times New Roman" w:hAnsi="Times New Roman"/>
          <w:sz w:val="24"/>
          <w:lang w:val="en-US" w:bidi="en-US" w:eastAsia="en-US"/>
        </w:rPr>
        <w:t xml:space="preserve">SDCL subdivision </w:t>
      </w:r>
      <w:r>
        <w:rPr>
          <w:rFonts w:ascii="Times New Roman" w:hAnsi="Times New Roman"/>
          <w:sz w:val="24"/>
        </w:rPr>
        <w:t>34-23A-10.1(1), the physician shall use the informed consent form provided in Appendix 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46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65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23A-</w:t>
      </w:r>
      <w:r>
        <w:rPr>
          <w:rFonts w:ascii="Times New Roman" w:hAnsi="Times New Roman"/>
          <w:sz w:val="24"/>
          <w:lang w:val="en-US" w:bidi="en-US" w:eastAsia="en-US"/>
        </w:rPr>
        <w:t>10.5.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34-23A-10.1(1), 34-23A-10.5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2019-11-21T15:37:38Z</dcterms:modified>
  <cp:revision>7</cp:revision>
</cp:coreProperties>
</file>